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73C0E">
      <w:pPr>
        <w:pStyle w:val="5"/>
      </w:pPr>
      <w:r>
        <w:rPr>
          <w:rFonts w:ascii="Verdana" w:hAnsi="Verdana"/>
          <w:sz w:val="16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8619490</wp:posOffset>
            </wp:positionH>
            <wp:positionV relativeFrom="paragraph">
              <wp:posOffset>3810</wp:posOffset>
            </wp:positionV>
            <wp:extent cx="1120140" cy="383540"/>
            <wp:effectExtent l="0" t="0" r="0" b="0"/>
            <wp:wrapNone/>
            <wp:docPr id="623581224" name="Imagem 623581224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1224" name="Imagem 623581224" descr="Logotipo&#10;&#10;Descrição gerada automaticament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20140" cy="383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4944110</wp:posOffset>
            </wp:positionH>
            <wp:positionV relativeFrom="paragraph">
              <wp:posOffset>5080</wp:posOffset>
            </wp:positionV>
            <wp:extent cx="640080" cy="619125"/>
            <wp:effectExtent l="0" t="0" r="7620" b="9525"/>
            <wp:wrapNone/>
            <wp:docPr id="3" name="Imagem 3" descr="Desenho de personagem de desenho animado&#10;&#10;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Desenho de personagem de desenho animado&#10;&#10;Descrição gerada automaticamente com confiança méd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17780</wp:posOffset>
            </wp:positionV>
            <wp:extent cx="685800" cy="370840"/>
            <wp:effectExtent l="0" t="0" r="0" b="10160"/>
            <wp:wrapNone/>
            <wp:docPr id="1998675130" name="Imagem 1998675130" descr="Uma imagem contendo clip-art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675130" name="Imagem 1998675130" descr="Uma imagem contendo clip-art&#10;&#10;Descrição gerada automaticament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70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14:paraId="5467C5BE">
      <w:pPr>
        <w:pStyle w:val="5"/>
      </w:pPr>
    </w:p>
    <w:p w14:paraId="2C19F001">
      <w:pPr>
        <w:pStyle w:val="5"/>
      </w:pPr>
    </w:p>
    <w:p w14:paraId="7A191201">
      <w:pPr>
        <w:pStyle w:val="5"/>
      </w:pPr>
    </w:p>
    <w:p w14:paraId="2ED4A0AF">
      <w:pPr>
        <w:pStyle w:val="5"/>
      </w:pPr>
    </w:p>
    <w:p w14:paraId="2E2517D7">
      <w:pPr>
        <w:tabs>
          <w:tab w:val="left" w:pos="6284"/>
        </w:tabs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bookmarkStart w:id="0" w:name="_Hlk207293645"/>
      <w:r>
        <w:rPr>
          <w:rFonts w:ascii="Times New Roman" w:hAnsi="Times New Roman" w:cs="Times New Roman"/>
          <w:b/>
          <w:bCs/>
          <w:sz w:val="16"/>
          <w:szCs w:val="16"/>
        </w:rPr>
        <w:t>MINISTÉRIO DA EDUCAÇÃO</w:t>
      </w:r>
    </w:p>
    <w:p w14:paraId="60106AC5">
      <w:pPr>
        <w:pStyle w:val="2"/>
        <w:widowControl/>
        <w:spacing w:before="0"/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sz w:val="16"/>
          <w:szCs w:val="16"/>
        </w:rPr>
        <w:t>UNIVERSIDADE FEDERAL FLUMINENSE</w:t>
      </w:r>
    </w:p>
    <w:p w14:paraId="70DCF55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PRO REITORIA DE ADMINISTRAÇÃO</w:t>
      </w:r>
    </w:p>
    <w:p w14:paraId="729D7A26">
      <w:pPr>
        <w:spacing w:after="0"/>
        <w:jc w:val="center"/>
        <w:rPr>
          <w:rFonts w:ascii="Times New Roman" w:hAnsi="Times New Roman" w:eastAsia="Verdana" w:cs="Times New Roman"/>
          <w:b/>
          <w:bCs/>
          <w:sz w:val="16"/>
          <w:szCs w:val="16"/>
        </w:rPr>
      </w:pPr>
      <w:r>
        <w:rPr>
          <w:rFonts w:ascii="Times New Roman" w:hAnsi="Times New Roman" w:eastAsia="Verdana" w:cs="Times New Roman"/>
          <w:b/>
          <w:bCs/>
          <w:sz w:val="16"/>
          <w:szCs w:val="16"/>
        </w:rPr>
        <w:t>Processo n.º 23069.1882642024-72</w:t>
      </w:r>
    </w:p>
    <w:bookmarkEnd w:id="0"/>
    <w:p w14:paraId="4F1846C9">
      <w:pPr>
        <w:spacing w:after="0"/>
        <w:jc w:val="center"/>
        <w:rPr>
          <w:b/>
          <w:bCs/>
        </w:rPr>
      </w:pPr>
    </w:p>
    <w:p w14:paraId="7D5EFECA">
      <w:pPr>
        <w:jc w:val="center"/>
        <w:rPr>
          <w:b/>
          <w:bCs/>
        </w:rPr>
      </w:pPr>
      <w:r>
        <w:rPr>
          <w:b/>
          <w:bCs/>
        </w:rPr>
        <w:t>ANEXO 1 - ESPECIFICAÇÕES DE ITENS E DESCRIÇÕES DOS PREÇOS ESTIMADOS</w:t>
      </w:r>
    </w:p>
    <w:tbl>
      <w:tblPr>
        <w:tblStyle w:val="6"/>
        <w:tblW w:w="154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684"/>
        <w:gridCol w:w="5214"/>
        <w:gridCol w:w="992"/>
        <w:gridCol w:w="1134"/>
        <w:gridCol w:w="851"/>
        <w:gridCol w:w="1559"/>
        <w:gridCol w:w="2072"/>
        <w:gridCol w:w="1897"/>
      </w:tblGrid>
      <w:tr w14:paraId="739BC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" w:type="dxa"/>
            <w:shd w:val="clear" w:color="auto" w:fill="BDD6EE" w:themeFill="accent5" w:themeFillTint="66"/>
          </w:tcPr>
          <w:p w14:paraId="64358C88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LOTE</w:t>
            </w:r>
          </w:p>
        </w:tc>
        <w:tc>
          <w:tcPr>
            <w:tcW w:w="684" w:type="dxa"/>
            <w:shd w:val="clear" w:color="auto" w:fill="BDD6EE" w:themeFill="accent5" w:themeFillTint="66"/>
          </w:tcPr>
          <w:p w14:paraId="755D3BC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5214" w:type="dxa"/>
            <w:shd w:val="clear" w:color="auto" w:fill="BDD6EE" w:themeFill="accent5" w:themeFillTint="66"/>
          </w:tcPr>
          <w:p w14:paraId="14CC5E7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ESPECIFICAÇÃO</w:t>
            </w:r>
          </w:p>
        </w:tc>
        <w:tc>
          <w:tcPr>
            <w:tcW w:w="992" w:type="dxa"/>
            <w:shd w:val="clear" w:color="auto" w:fill="BDD6EE" w:themeFill="accent5" w:themeFillTint="66"/>
          </w:tcPr>
          <w:p w14:paraId="7F502B2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CATSER</w:t>
            </w:r>
          </w:p>
        </w:tc>
        <w:tc>
          <w:tcPr>
            <w:tcW w:w="1134" w:type="dxa"/>
            <w:shd w:val="clear" w:color="auto" w:fill="BDD6EE" w:themeFill="accent5" w:themeFillTint="66"/>
          </w:tcPr>
          <w:p w14:paraId="6FC2826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MÉTRICA OU</w:t>
            </w:r>
          </w:p>
          <w:p w14:paraId="1411A26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UNIDADE DE</w:t>
            </w:r>
          </w:p>
          <w:p w14:paraId="41938A8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MEDIDA</w:t>
            </w:r>
          </w:p>
        </w:tc>
        <w:tc>
          <w:tcPr>
            <w:tcW w:w="851" w:type="dxa"/>
            <w:shd w:val="clear" w:color="auto" w:fill="BDD6EE" w:themeFill="accent5" w:themeFillTint="66"/>
          </w:tcPr>
          <w:p w14:paraId="12D5357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CÓD.</w:t>
            </w:r>
          </w:p>
          <w:p w14:paraId="5436022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PMC-TIC</w:t>
            </w:r>
          </w:p>
        </w:tc>
        <w:tc>
          <w:tcPr>
            <w:tcW w:w="1559" w:type="dxa"/>
            <w:shd w:val="clear" w:color="auto" w:fill="BDD6EE" w:themeFill="accent5" w:themeFillTint="66"/>
          </w:tcPr>
          <w:p w14:paraId="36FCA8D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  <w:tc>
          <w:tcPr>
            <w:tcW w:w="2072" w:type="dxa"/>
            <w:shd w:val="clear" w:color="auto" w:fill="BDD6EE" w:themeFill="accent5" w:themeFillTint="66"/>
          </w:tcPr>
          <w:p w14:paraId="15E54B4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VALOR </w:t>
            </w:r>
            <w:r>
              <w:rPr>
                <w:rFonts w:hint="default"/>
                <w:b/>
                <w:bCs/>
                <w:lang w:val="pt-BR"/>
              </w:rPr>
              <w:t>UNITÁRIO</w:t>
            </w:r>
            <w:r>
              <w:rPr>
                <w:b/>
                <w:bCs/>
              </w:rPr>
              <w:t xml:space="preserve"> ESTIMADO EM REAIS (R$)</w:t>
            </w:r>
          </w:p>
        </w:tc>
        <w:tc>
          <w:tcPr>
            <w:tcW w:w="1897" w:type="dxa"/>
            <w:shd w:val="clear" w:color="auto" w:fill="BDD6EE" w:themeFill="accent5" w:themeFillTint="66"/>
          </w:tcPr>
          <w:p w14:paraId="18864F4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VALOR TOTAL ESTIMADO PARA 12 MESES EM REAIS (R$)</w:t>
            </w:r>
          </w:p>
        </w:tc>
      </w:tr>
      <w:tr w14:paraId="6B2AA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" w:type="dxa"/>
            <w:vMerge w:val="restart"/>
          </w:tcPr>
          <w:p w14:paraId="3FB654B3">
            <w:pPr>
              <w:spacing w:after="0" w:line="240" w:lineRule="auto"/>
            </w:pPr>
          </w:p>
          <w:p w14:paraId="2979AFC3">
            <w:pPr>
              <w:spacing w:after="0" w:line="240" w:lineRule="auto"/>
            </w:pPr>
          </w:p>
          <w:p w14:paraId="2EDEC123">
            <w:pPr>
              <w:spacing w:after="0" w:line="240" w:lineRule="auto"/>
            </w:pPr>
          </w:p>
          <w:p w14:paraId="5CD3265B">
            <w:pPr>
              <w:spacing w:after="0" w:line="240" w:lineRule="auto"/>
            </w:pPr>
          </w:p>
          <w:p w14:paraId="049C623C">
            <w:pPr>
              <w:spacing w:after="0" w:line="240" w:lineRule="auto"/>
            </w:pPr>
          </w:p>
          <w:p w14:paraId="5B02B25E">
            <w:pPr>
              <w:spacing w:after="0" w:line="240" w:lineRule="auto"/>
              <w:jc w:val="center"/>
            </w:pPr>
          </w:p>
          <w:p w14:paraId="3710ED26">
            <w:pPr>
              <w:spacing w:after="0" w:line="240" w:lineRule="auto"/>
              <w:jc w:val="center"/>
            </w:pPr>
          </w:p>
          <w:p w14:paraId="5CC40014">
            <w:pPr>
              <w:spacing w:after="0" w:line="240" w:lineRule="auto"/>
              <w:jc w:val="center"/>
            </w:pPr>
          </w:p>
          <w:p w14:paraId="53881702">
            <w:pPr>
              <w:spacing w:after="0" w:line="240" w:lineRule="auto"/>
              <w:jc w:val="center"/>
            </w:pPr>
          </w:p>
          <w:p w14:paraId="3A3EBE1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84" w:type="dxa"/>
          </w:tcPr>
          <w:p w14:paraId="343566F8">
            <w:pPr>
              <w:spacing w:after="0" w:line="240" w:lineRule="auto"/>
              <w:jc w:val="center"/>
            </w:pPr>
          </w:p>
          <w:p w14:paraId="6DD7C62F">
            <w:pPr>
              <w:spacing w:after="0" w:line="240" w:lineRule="auto"/>
              <w:jc w:val="center"/>
            </w:pPr>
          </w:p>
          <w:p w14:paraId="2C559BAF">
            <w:pPr>
              <w:spacing w:after="0" w:line="240" w:lineRule="auto"/>
              <w:jc w:val="center"/>
            </w:pPr>
          </w:p>
          <w:p w14:paraId="6CB7EED3">
            <w:pPr>
              <w:spacing w:after="0" w:line="240" w:lineRule="auto"/>
              <w:jc w:val="center"/>
            </w:pPr>
          </w:p>
          <w:p w14:paraId="5A9DEF01">
            <w:pPr>
              <w:spacing w:after="0" w:line="240" w:lineRule="auto"/>
              <w:jc w:val="center"/>
            </w:pPr>
          </w:p>
          <w:p w14:paraId="7029C211">
            <w:pPr>
              <w:spacing w:after="0" w:line="240" w:lineRule="auto"/>
              <w:jc w:val="center"/>
            </w:pPr>
          </w:p>
          <w:p w14:paraId="140F97BB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214" w:type="dxa"/>
          </w:tcPr>
          <w:p w14:paraId="353CA1D3">
            <w:pPr>
              <w:spacing w:after="0" w:line="240" w:lineRule="auto"/>
              <w:jc w:val="both"/>
            </w:pPr>
            <w:r>
              <w:t>Serviço técnico especializado de Central de Serviços Artificial e Humanizada (N0 e N1), envolvendo os processos, com e sem intervenção humana de forma robótica e industrializada, com o objetivo de realizar o atendimento ao usuário com inteligência artificial e multicanalidade e respectivamente em suas rotinas e processos, políticas e negócios de forma rotineira, contínua e mensal pelo período de 12 (doze) meses, observando os conceitos de gestão da informação, as melhores práticas de mercado e as melhores técnicas de implantação da jornada de experiência dos usuários da UFF - Universidade Federal Fluminense, conforme especificações e condições do Termo de Referência e seus Anexos.</w:t>
            </w:r>
          </w:p>
        </w:tc>
        <w:tc>
          <w:tcPr>
            <w:tcW w:w="992" w:type="dxa"/>
          </w:tcPr>
          <w:p w14:paraId="3D37BD1A">
            <w:pPr>
              <w:spacing w:after="0" w:line="240" w:lineRule="auto"/>
              <w:jc w:val="center"/>
            </w:pPr>
          </w:p>
          <w:p w14:paraId="23D6EC98">
            <w:pPr>
              <w:spacing w:after="0" w:line="240" w:lineRule="auto"/>
              <w:jc w:val="center"/>
            </w:pPr>
          </w:p>
          <w:p w14:paraId="225DF718">
            <w:pPr>
              <w:spacing w:after="0" w:line="240" w:lineRule="auto"/>
              <w:jc w:val="center"/>
            </w:pPr>
          </w:p>
          <w:p w14:paraId="7FB49778">
            <w:pPr>
              <w:spacing w:after="0" w:line="240" w:lineRule="auto"/>
              <w:jc w:val="center"/>
            </w:pPr>
          </w:p>
          <w:p w14:paraId="511394EC">
            <w:pPr>
              <w:spacing w:after="0" w:line="240" w:lineRule="auto"/>
              <w:jc w:val="center"/>
            </w:pPr>
          </w:p>
          <w:p w14:paraId="2EE98BC1">
            <w:pPr>
              <w:spacing w:after="0" w:line="240" w:lineRule="auto"/>
              <w:jc w:val="center"/>
            </w:pPr>
          </w:p>
          <w:p w14:paraId="1F8579C0">
            <w:pPr>
              <w:spacing w:after="0" w:line="240" w:lineRule="auto"/>
              <w:jc w:val="center"/>
            </w:pPr>
          </w:p>
          <w:p w14:paraId="7218DAAA">
            <w:pPr>
              <w:spacing w:after="0" w:line="240" w:lineRule="auto"/>
              <w:jc w:val="center"/>
            </w:pPr>
            <w:r>
              <w:t>26980</w:t>
            </w:r>
          </w:p>
        </w:tc>
        <w:tc>
          <w:tcPr>
            <w:tcW w:w="1134" w:type="dxa"/>
          </w:tcPr>
          <w:p w14:paraId="34AA5CCF">
            <w:pPr>
              <w:spacing w:after="0" w:line="240" w:lineRule="auto"/>
              <w:jc w:val="center"/>
            </w:pPr>
          </w:p>
          <w:p w14:paraId="3F8A5E88">
            <w:pPr>
              <w:spacing w:after="0" w:line="240" w:lineRule="auto"/>
              <w:jc w:val="center"/>
            </w:pPr>
          </w:p>
          <w:p w14:paraId="10D50C7F">
            <w:pPr>
              <w:spacing w:after="0" w:line="240" w:lineRule="auto"/>
              <w:jc w:val="center"/>
            </w:pPr>
          </w:p>
          <w:p w14:paraId="1F03058E">
            <w:pPr>
              <w:spacing w:after="0" w:line="240" w:lineRule="auto"/>
              <w:jc w:val="center"/>
            </w:pPr>
          </w:p>
          <w:p w14:paraId="55651DAF">
            <w:pPr>
              <w:spacing w:after="0" w:line="240" w:lineRule="auto"/>
              <w:jc w:val="center"/>
            </w:pPr>
          </w:p>
          <w:p w14:paraId="1CA80C44">
            <w:pPr>
              <w:spacing w:after="0" w:line="240" w:lineRule="auto"/>
              <w:jc w:val="center"/>
            </w:pPr>
          </w:p>
          <w:p w14:paraId="5F9958E5">
            <w:pPr>
              <w:spacing w:after="0" w:line="240" w:lineRule="auto"/>
              <w:jc w:val="center"/>
            </w:pPr>
          </w:p>
          <w:p w14:paraId="3E89A2BF">
            <w:pPr>
              <w:spacing w:after="0" w:line="240" w:lineRule="auto"/>
              <w:jc w:val="center"/>
            </w:pPr>
            <w:r>
              <w:t>MÊS</w:t>
            </w:r>
          </w:p>
        </w:tc>
        <w:tc>
          <w:tcPr>
            <w:tcW w:w="851" w:type="dxa"/>
          </w:tcPr>
          <w:p w14:paraId="6BD09A78">
            <w:pPr>
              <w:spacing w:after="0" w:line="240" w:lineRule="auto"/>
              <w:jc w:val="center"/>
            </w:pPr>
          </w:p>
          <w:p w14:paraId="1A385EBE">
            <w:pPr>
              <w:spacing w:after="0" w:line="240" w:lineRule="auto"/>
              <w:jc w:val="center"/>
            </w:pPr>
          </w:p>
          <w:p w14:paraId="6D139559">
            <w:pPr>
              <w:spacing w:after="0" w:line="240" w:lineRule="auto"/>
              <w:jc w:val="center"/>
            </w:pPr>
          </w:p>
          <w:p w14:paraId="1F1728B2">
            <w:pPr>
              <w:spacing w:after="0" w:line="240" w:lineRule="auto"/>
              <w:jc w:val="center"/>
            </w:pPr>
          </w:p>
          <w:p w14:paraId="29EC2389">
            <w:pPr>
              <w:spacing w:after="0" w:line="240" w:lineRule="auto"/>
              <w:jc w:val="center"/>
            </w:pPr>
          </w:p>
          <w:p w14:paraId="47B24CCD">
            <w:pPr>
              <w:spacing w:after="0" w:line="240" w:lineRule="auto"/>
              <w:jc w:val="center"/>
            </w:pPr>
          </w:p>
          <w:p w14:paraId="12DDA2CC">
            <w:pPr>
              <w:spacing w:after="0" w:line="240" w:lineRule="auto"/>
              <w:jc w:val="center"/>
            </w:pPr>
          </w:p>
          <w:p w14:paraId="41353DF2">
            <w:pPr>
              <w:spacing w:after="0" w:line="240" w:lineRule="auto"/>
              <w:jc w:val="center"/>
            </w:pPr>
            <w:r>
              <w:t>N/A</w:t>
            </w:r>
          </w:p>
        </w:tc>
        <w:tc>
          <w:tcPr>
            <w:tcW w:w="1559" w:type="dxa"/>
          </w:tcPr>
          <w:p w14:paraId="36E25634">
            <w:pPr>
              <w:spacing w:after="0" w:line="240" w:lineRule="auto"/>
              <w:jc w:val="center"/>
            </w:pPr>
          </w:p>
          <w:p w14:paraId="5EAC80AA">
            <w:pPr>
              <w:spacing w:after="0" w:line="240" w:lineRule="auto"/>
              <w:jc w:val="center"/>
            </w:pPr>
          </w:p>
          <w:p w14:paraId="57D6CBD0">
            <w:pPr>
              <w:spacing w:after="0" w:line="240" w:lineRule="auto"/>
              <w:jc w:val="center"/>
            </w:pPr>
          </w:p>
          <w:p w14:paraId="06DA6CE0">
            <w:pPr>
              <w:spacing w:after="0" w:line="240" w:lineRule="auto"/>
              <w:jc w:val="center"/>
            </w:pPr>
          </w:p>
          <w:p w14:paraId="0DE4F8AD">
            <w:pPr>
              <w:spacing w:after="0" w:line="240" w:lineRule="auto"/>
              <w:jc w:val="center"/>
            </w:pPr>
          </w:p>
          <w:p w14:paraId="303BB444">
            <w:pPr>
              <w:spacing w:after="0" w:line="240" w:lineRule="auto"/>
              <w:jc w:val="center"/>
            </w:pPr>
          </w:p>
          <w:p w14:paraId="192025F1">
            <w:pPr>
              <w:spacing w:after="0" w:line="240" w:lineRule="auto"/>
              <w:jc w:val="center"/>
            </w:pPr>
          </w:p>
          <w:p w14:paraId="32964E79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2072" w:type="dxa"/>
          </w:tcPr>
          <w:p w14:paraId="48FEC59D">
            <w:pPr>
              <w:spacing w:after="0" w:line="240" w:lineRule="auto"/>
              <w:jc w:val="center"/>
            </w:pPr>
          </w:p>
          <w:p w14:paraId="4213198B">
            <w:pPr>
              <w:spacing w:after="0" w:line="240" w:lineRule="auto"/>
              <w:jc w:val="center"/>
            </w:pPr>
          </w:p>
          <w:p w14:paraId="19527842">
            <w:pPr>
              <w:spacing w:after="0" w:line="240" w:lineRule="auto"/>
              <w:jc w:val="center"/>
            </w:pPr>
          </w:p>
          <w:p w14:paraId="1CE69AD8">
            <w:pPr>
              <w:spacing w:after="0" w:line="240" w:lineRule="auto"/>
              <w:jc w:val="center"/>
            </w:pPr>
          </w:p>
          <w:p w14:paraId="04834DCF">
            <w:pPr>
              <w:spacing w:after="0" w:line="240" w:lineRule="auto"/>
              <w:jc w:val="center"/>
            </w:pPr>
          </w:p>
          <w:p w14:paraId="67B5EF95">
            <w:pPr>
              <w:spacing w:after="0" w:line="240" w:lineRule="auto"/>
              <w:jc w:val="center"/>
            </w:pPr>
          </w:p>
          <w:p w14:paraId="447687C7">
            <w:pPr>
              <w:spacing w:after="0" w:line="240" w:lineRule="auto"/>
              <w:jc w:val="center"/>
            </w:pPr>
          </w:p>
          <w:p w14:paraId="4B4D3E77">
            <w:pPr>
              <w:spacing w:after="0" w:line="240" w:lineRule="auto"/>
              <w:jc w:val="center"/>
            </w:pPr>
            <w:r>
              <w:t>R$ 477.598,50</w:t>
            </w:r>
          </w:p>
        </w:tc>
        <w:tc>
          <w:tcPr>
            <w:tcW w:w="1897" w:type="dxa"/>
          </w:tcPr>
          <w:p w14:paraId="429628E7">
            <w:pPr>
              <w:spacing w:after="0" w:line="240" w:lineRule="auto"/>
              <w:jc w:val="center"/>
            </w:pPr>
          </w:p>
          <w:p w14:paraId="04067590">
            <w:pPr>
              <w:spacing w:after="0" w:line="240" w:lineRule="auto"/>
              <w:jc w:val="center"/>
            </w:pPr>
          </w:p>
          <w:p w14:paraId="47C965F7">
            <w:pPr>
              <w:spacing w:after="0" w:line="240" w:lineRule="auto"/>
              <w:jc w:val="center"/>
            </w:pPr>
          </w:p>
          <w:p w14:paraId="4B99BEE2">
            <w:pPr>
              <w:spacing w:after="0" w:line="240" w:lineRule="auto"/>
              <w:jc w:val="center"/>
            </w:pPr>
          </w:p>
          <w:p w14:paraId="084CE3DE">
            <w:pPr>
              <w:spacing w:after="0" w:line="240" w:lineRule="auto"/>
              <w:jc w:val="center"/>
            </w:pPr>
          </w:p>
          <w:p w14:paraId="7090070E">
            <w:pPr>
              <w:spacing w:after="0" w:line="240" w:lineRule="auto"/>
              <w:jc w:val="center"/>
            </w:pPr>
          </w:p>
          <w:p w14:paraId="1BEF439E">
            <w:pPr>
              <w:spacing w:after="0" w:line="240" w:lineRule="auto"/>
              <w:jc w:val="center"/>
            </w:pPr>
          </w:p>
          <w:p w14:paraId="6D623225">
            <w:pPr>
              <w:spacing w:after="0" w:line="240" w:lineRule="auto"/>
              <w:jc w:val="center"/>
              <w:rPr>
                <w:rFonts w:hint="default"/>
                <w:lang w:val="pt-BR"/>
              </w:rPr>
            </w:pPr>
            <w:r>
              <w:t>R$ 5.731.18</w:t>
            </w:r>
            <w:r>
              <w:rPr>
                <w:rFonts w:hint="default"/>
                <w:lang w:val="pt-BR"/>
              </w:rPr>
              <w:t>2,00</w:t>
            </w:r>
          </w:p>
        </w:tc>
      </w:tr>
      <w:tr w14:paraId="4608B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" w:type="dxa"/>
            <w:vMerge w:val="continue"/>
            <w:tcBorders>
              <w:bottom w:val="single" w:color="auto" w:sz="4" w:space="0"/>
            </w:tcBorders>
          </w:tcPr>
          <w:p w14:paraId="06ED0935">
            <w:pPr>
              <w:spacing w:after="0" w:line="240" w:lineRule="auto"/>
            </w:pPr>
          </w:p>
        </w:tc>
        <w:tc>
          <w:tcPr>
            <w:tcW w:w="684" w:type="dxa"/>
            <w:tcBorders>
              <w:bottom w:val="single" w:color="auto" w:sz="4" w:space="0"/>
            </w:tcBorders>
          </w:tcPr>
          <w:p w14:paraId="503F469A">
            <w:pPr>
              <w:spacing w:after="0" w:line="240" w:lineRule="auto"/>
              <w:jc w:val="center"/>
            </w:pPr>
          </w:p>
          <w:p w14:paraId="10ADDFE9">
            <w:pPr>
              <w:spacing w:after="0" w:line="240" w:lineRule="auto"/>
              <w:jc w:val="center"/>
            </w:pPr>
          </w:p>
          <w:p w14:paraId="4E86FA7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214" w:type="dxa"/>
            <w:tcBorders>
              <w:bottom w:val="single" w:color="auto" w:sz="4" w:space="0"/>
            </w:tcBorders>
          </w:tcPr>
          <w:p w14:paraId="0B0BE5E2">
            <w:pPr>
              <w:spacing w:after="0" w:line="240" w:lineRule="auto"/>
              <w:jc w:val="both"/>
              <w:rPr>
                <w:rFonts w:hint="default"/>
              </w:rPr>
            </w:pPr>
            <w:r>
              <w:rPr>
                <w:rFonts w:hint="default"/>
              </w:rPr>
              <w:t>Serviços Técnicos especializados de aceleração digital e multicanalidade sob demanda, mensurado em Horas de Serviço Técnico (HST), de forma eventual pelo período de 12 (doze) meses e observando os conceitos de gestão da informação e as melhores práticas de mercado</w:t>
            </w:r>
          </w:p>
          <w:p w14:paraId="2B427FC4">
            <w:pPr>
              <w:spacing w:after="0" w:line="240" w:lineRule="auto"/>
              <w:jc w:val="both"/>
            </w:pP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0025CDB7">
            <w:pPr>
              <w:spacing w:after="0" w:line="240" w:lineRule="auto"/>
              <w:jc w:val="center"/>
            </w:pPr>
          </w:p>
          <w:p w14:paraId="68A1C6F0">
            <w:pPr>
              <w:spacing w:after="0" w:line="240" w:lineRule="auto"/>
              <w:jc w:val="center"/>
            </w:pPr>
          </w:p>
          <w:p w14:paraId="312C5D51">
            <w:pPr>
              <w:spacing w:after="0" w:line="240" w:lineRule="auto"/>
              <w:jc w:val="center"/>
            </w:pPr>
            <w:r>
              <w:t>27081</w:t>
            </w: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2084D29C">
            <w:pPr>
              <w:spacing w:after="0" w:line="240" w:lineRule="auto"/>
              <w:jc w:val="center"/>
              <w:rPr>
                <w:rFonts w:hint="default"/>
                <w:lang w:val="pt-BR"/>
              </w:rPr>
            </w:pPr>
          </w:p>
          <w:p w14:paraId="4C17C86D">
            <w:pPr>
              <w:spacing w:after="0" w:line="240" w:lineRule="auto"/>
              <w:jc w:val="center"/>
              <w:rPr>
                <w:rFonts w:hint="default"/>
                <w:lang w:val="pt-BR"/>
              </w:rPr>
            </w:pPr>
          </w:p>
          <w:p w14:paraId="0E04C179">
            <w:pPr>
              <w:spacing w:after="0" w:line="240" w:lineRule="auto"/>
              <w:jc w:val="center"/>
              <w:rPr>
                <w:rFonts w:hint="default"/>
                <w:lang w:val="pt-BR"/>
              </w:rPr>
            </w:pPr>
            <w:r>
              <w:rPr>
                <w:rFonts w:hint="default"/>
                <w:lang w:val="pt-BR"/>
              </w:rPr>
              <w:t>UNID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27AA522">
            <w:pPr>
              <w:spacing w:after="0" w:line="240" w:lineRule="auto"/>
              <w:jc w:val="center"/>
            </w:pPr>
          </w:p>
          <w:p w14:paraId="1539CE1C">
            <w:pPr>
              <w:spacing w:after="0" w:line="240" w:lineRule="auto"/>
              <w:jc w:val="center"/>
            </w:pPr>
          </w:p>
          <w:p w14:paraId="677EF8A6">
            <w:pPr>
              <w:spacing w:after="0" w:line="240" w:lineRule="auto"/>
              <w:jc w:val="center"/>
            </w:pPr>
            <w:r>
              <w:t>N/A</w:t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7FF87059">
            <w:pPr>
              <w:spacing w:after="0" w:line="240" w:lineRule="auto"/>
              <w:jc w:val="center"/>
            </w:pPr>
          </w:p>
          <w:p w14:paraId="4EE66228">
            <w:pPr>
              <w:spacing w:after="0" w:line="240" w:lineRule="auto"/>
              <w:jc w:val="center"/>
            </w:pPr>
          </w:p>
          <w:p w14:paraId="0D15F344">
            <w:pPr>
              <w:spacing w:after="0" w:line="240" w:lineRule="auto"/>
              <w:jc w:val="center"/>
            </w:pPr>
            <w:r>
              <w:t>7680</w:t>
            </w:r>
          </w:p>
        </w:tc>
        <w:tc>
          <w:tcPr>
            <w:tcW w:w="2072" w:type="dxa"/>
            <w:tcBorders>
              <w:bottom w:val="single" w:color="auto" w:sz="4" w:space="0"/>
            </w:tcBorders>
          </w:tcPr>
          <w:p w14:paraId="65FB2444">
            <w:pPr>
              <w:spacing w:after="0" w:line="240" w:lineRule="auto"/>
              <w:jc w:val="center"/>
            </w:pPr>
          </w:p>
          <w:p w14:paraId="384EEEAF">
            <w:pPr>
              <w:spacing w:after="0" w:line="240" w:lineRule="auto"/>
              <w:jc w:val="center"/>
            </w:pPr>
          </w:p>
          <w:p w14:paraId="1E222DF4">
            <w:pPr>
              <w:spacing w:after="0" w:line="240" w:lineRule="auto"/>
              <w:jc w:val="center"/>
              <w:rPr>
                <w:rFonts w:hint="default"/>
                <w:lang w:val="pt-BR"/>
              </w:rPr>
            </w:pPr>
            <w:r>
              <w:t xml:space="preserve">R$ </w:t>
            </w:r>
            <w:r>
              <w:rPr>
                <w:rFonts w:hint="default"/>
                <w:lang w:val="pt-BR"/>
              </w:rPr>
              <w:t>348,89</w:t>
            </w:r>
          </w:p>
        </w:tc>
        <w:tc>
          <w:tcPr>
            <w:tcW w:w="1897" w:type="dxa"/>
            <w:tcBorders>
              <w:bottom w:val="single" w:color="auto" w:sz="4" w:space="0"/>
            </w:tcBorders>
          </w:tcPr>
          <w:p w14:paraId="7AC593A8">
            <w:pPr>
              <w:spacing w:after="0" w:line="240" w:lineRule="auto"/>
              <w:jc w:val="center"/>
            </w:pPr>
          </w:p>
          <w:p w14:paraId="0FAEB18D">
            <w:pPr>
              <w:spacing w:after="0" w:line="240" w:lineRule="auto"/>
              <w:jc w:val="center"/>
            </w:pPr>
          </w:p>
          <w:p w14:paraId="2049B09A">
            <w:pPr>
              <w:spacing w:after="0" w:line="240" w:lineRule="auto"/>
              <w:jc w:val="center"/>
            </w:pPr>
            <w:r>
              <w:t>R$ 2.679.475,20</w:t>
            </w:r>
          </w:p>
        </w:tc>
      </w:tr>
      <w:tr w14:paraId="4A071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7" w:type="dxa"/>
            <w:gridSpan w:val="7"/>
            <w:shd w:val="clear" w:color="auto" w:fill="BDD6EE" w:themeFill="accent5" w:themeFillTint="66"/>
          </w:tcPr>
          <w:p w14:paraId="5123832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Valor Total Estimado</w:t>
            </w:r>
          </w:p>
        </w:tc>
        <w:tc>
          <w:tcPr>
            <w:tcW w:w="2072" w:type="dxa"/>
            <w:shd w:val="clear" w:color="auto" w:fill="auto"/>
          </w:tcPr>
          <w:p w14:paraId="5A6A6E24">
            <w:pPr>
              <w:spacing w:after="0" w:line="240" w:lineRule="auto"/>
              <w:jc w:val="center"/>
            </w:pPr>
          </w:p>
        </w:tc>
        <w:tc>
          <w:tcPr>
            <w:tcW w:w="1897" w:type="dxa"/>
            <w:shd w:val="clear" w:color="auto" w:fill="auto"/>
          </w:tcPr>
          <w:p w14:paraId="40103D29">
            <w:pPr>
              <w:spacing w:after="0" w:line="240" w:lineRule="auto"/>
              <w:jc w:val="center"/>
              <w:rPr>
                <w:rFonts w:hint="default"/>
                <w:lang w:val="pt-BR"/>
              </w:rPr>
            </w:pPr>
            <w:r>
              <w:t>R$ 8.410.657,</w:t>
            </w:r>
            <w:r>
              <w:rPr>
                <w:rFonts w:hint="default"/>
                <w:lang w:val="pt-BR"/>
              </w:rPr>
              <w:t>20</w:t>
            </w:r>
            <w:bookmarkStart w:id="1" w:name="_GoBack"/>
            <w:bookmarkEnd w:id="1"/>
          </w:p>
        </w:tc>
      </w:tr>
    </w:tbl>
    <w:p w14:paraId="32A974EE"/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6AB"/>
    <w:rsid w:val="002846AB"/>
    <w:rsid w:val="00307CB4"/>
    <w:rsid w:val="003D7AF6"/>
    <w:rsid w:val="00425ECE"/>
    <w:rsid w:val="00426F89"/>
    <w:rsid w:val="004555A5"/>
    <w:rsid w:val="004D2189"/>
    <w:rsid w:val="00536BA7"/>
    <w:rsid w:val="005A3281"/>
    <w:rsid w:val="005A3316"/>
    <w:rsid w:val="00651328"/>
    <w:rsid w:val="007B186A"/>
    <w:rsid w:val="00886B0C"/>
    <w:rsid w:val="00886D40"/>
    <w:rsid w:val="00902CA4"/>
    <w:rsid w:val="00B47CB1"/>
    <w:rsid w:val="00C20E2B"/>
    <w:rsid w:val="00CE46E2"/>
    <w:rsid w:val="00D551E3"/>
    <w:rsid w:val="00D70761"/>
    <w:rsid w:val="00DC192F"/>
    <w:rsid w:val="00DD254D"/>
    <w:rsid w:val="00E25889"/>
    <w:rsid w:val="00EC560A"/>
    <w:rsid w:val="00F462F9"/>
    <w:rsid w:val="00F60428"/>
    <w:rsid w:val="22CC564B"/>
    <w:rsid w:val="59B20292"/>
    <w:rsid w:val="6E775756"/>
    <w:rsid w:val="7ECF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widowControl w:val="0"/>
      <w:spacing w:before="240" w:after="0" w:line="240" w:lineRule="auto"/>
      <w:outlineLvl w:val="0"/>
    </w:pPr>
    <w:rPr>
      <w:rFonts w:ascii="Calibri" w:hAnsi="Calibri" w:eastAsia="Calibri" w:cs="Calibri"/>
      <w:color w:val="2F5496"/>
      <w:kern w:val="0"/>
      <w:sz w:val="32"/>
      <w:szCs w:val="32"/>
      <w:lang w:eastAsia="pt-BR"/>
      <w14:ligatures w14:val="none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link w:val="8"/>
    <w:unhideWhenUsed/>
    <w:qFormat/>
    <w:uiPriority w:val="99"/>
    <w:pPr>
      <w:widowControl w:val="0"/>
      <w:tabs>
        <w:tab w:val="center" w:pos="4252"/>
        <w:tab w:val="right" w:pos="8504"/>
      </w:tabs>
      <w:spacing w:after="0" w:line="240" w:lineRule="auto"/>
    </w:pPr>
    <w:rPr>
      <w:rFonts w:ascii="Arial" w:hAnsi="Arial" w:eastAsia="Arial" w:cs="Arial"/>
      <w:kern w:val="0"/>
      <w:lang w:eastAsia="pt-BR"/>
      <w14:ligatures w14:val="none"/>
    </w:rPr>
  </w:style>
  <w:style w:type="table" w:styleId="6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Título 1 Char"/>
    <w:basedOn w:val="3"/>
    <w:link w:val="2"/>
    <w:qFormat/>
    <w:uiPriority w:val="9"/>
    <w:rPr>
      <w:rFonts w:ascii="Calibri" w:hAnsi="Calibri" w:eastAsia="Calibri" w:cs="Calibri"/>
      <w:color w:val="2F5496"/>
      <w:kern w:val="0"/>
      <w:sz w:val="32"/>
      <w:szCs w:val="32"/>
      <w:lang w:eastAsia="pt-BR"/>
      <w14:ligatures w14:val="none"/>
    </w:rPr>
  </w:style>
  <w:style w:type="character" w:customStyle="1" w:styleId="8">
    <w:name w:val="Cabeçalho Char"/>
    <w:basedOn w:val="3"/>
    <w:link w:val="5"/>
    <w:qFormat/>
    <w:uiPriority w:val="99"/>
    <w:rPr>
      <w:rFonts w:ascii="Arial" w:hAnsi="Arial" w:eastAsia="Arial" w:cs="Arial"/>
      <w:kern w:val="0"/>
      <w:lang w:eastAsia="pt-BR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17775-6DBF-4556-8EEE-24B5E6E615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260</Words>
  <Characters>1409</Characters>
  <Lines>11</Lines>
  <Paragraphs>3</Paragraphs>
  <TotalTime>309</TotalTime>
  <ScaleCrop>false</ScaleCrop>
  <LinksUpToDate>false</LinksUpToDate>
  <CharactersWithSpaces>1666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2025-08-14T18:31:00Z</dcterms:created>
  <dc:creator>Diego Athos - UFF</dc:creator>
  <cp:lastModifiedBy>Hellen Medeiros</cp:lastModifiedBy>
  <dcterms:modified xsi:type="dcterms:W3CDTF">2026-01-09T14:54:44Z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9E3FC3A8DCFF484C901E801AF429C001_12</vt:lpwstr>
  </property>
</Properties>
</file>